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1235"/>
        <w:gridCol w:w="11941"/>
      </w:tblGrid>
      <w:tr w:rsidR="00A957F0" w:rsidRPr="00FB31BD" w:rsidTr="00A957F0">
        <w:tc>
          <w:tcPr>
            <w:tcW w:w="13345" w:type="dxa"/>
            <w:gridSpan w:val="2"/>
            <w:shd w:val="clear" w:color="auto" w:fill="AEAAAA" w:themeFill="background2" w:themeFillShade="BF"/>
          </w:tcPr>
          <w:p w:rsidR="00A957F0" w:rsidRPr="00A957F0" w:rsidRDefault="00A957F0" w:rsidP="00A957F0">
            <w:pPr>
              <w:pStyle w:val="Corps"/>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Constantia" w:hAnsi="Constantia" w:cs="Calibri"/>
                <w:b/>
                <w:smallCaps/>
                <w:color w:val="002060"/>
                <w:sz w:val="36"/>
                <w:szCs w:val="36"/>
              </w:rPr>
            </w:pPr>
            <w:r w:rsidRPr="00A957F0">
              <w:rPr>
                <w:rFonts w:ascii="Constantia" w:hAnsi="Constantia" w:cs="Calibri"/>
                <w:b/>
                <w:smallCaps/>
                <w:color w:val="002060"/>
                <w:sz w:val="36"/>
                <w:szCs w:val="36"/>
              </w:rPr>
              <w:t>Protocole d’introduction des aliments dans la première année de vie de votre enfant</w:t>
            </w:r>
          </w:p>
        </w:tc>
      </w:tr>
      <w:tr w:rsidR="00A957F0" w:rsidRPr="00FB31BD" w:rsidTr="00F440F0">
        <w:trPr>
          <w:trHeight w:val="961"/>
        </w:trPr>
        <w:tc>
          <w:tcPr>
            <w:tcW w:w="13345" w:type="dxa"/>
            <w:gridSpan w:val="2"/>
          </w:tcPr>
          <w:p w:rsidR="00A957F0" w:rsidRPr="00A957F0" w:rsidRDefault="00A957F0" w:rsidP="00F440F0">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Constantia" w:hAnsi="Constantia" w:cs="Calibri"/>
                <w:color w:val="002060"/>
                <w:sz w:val="20"/>
                <w:szCs w:val="20"/>
              </w:rPr>
            </w:pPr>
            <w:r w:rsidRPr="00415AF4">
              <w:rPr>
                <w:rFonts w:ascii="Constantia" w:hAnsi="Constantia" w:cs="Calibri"/>
                <w:smallCaps/>
                <w:color w:val="002060"/>
                <w:sz w:val="28"/>
                <w:szCs w:val="28"/>
                <w:u w:val="single"/>
              </w:rPr>
              <w:t>Principes généraux</w:t>
            </w:r>
            <w:r w:rsidRPr="00415AF4">
              <w:rPr>
                <w:rFonts w:ascii="Constantia" w:hAnsi="Constantia" w:cs="Calibri"/>
                <w:smallCaps/>
                <w:color w:val="002060"/>
                <w:sz w:val="28"/>
                <w:szCs w:val="28"/>
              </w:rPr>
              <w:t> </w:t>
            </w:r>
            <w:r w:rsidRPr="00415AF4">
              <w:rPr>
                <w:rFonts w:ascii="Constantia" w:hAnsi="Constantia" w:cs="Calibri"/>
                <w:smallCaps/>
                <w:color w:val="002060"/>
                <w:sz w:val="24"/>
                <w:szCs w:val="24"/>
              </w:rPr>
              <w:t>:</w:t>
            </w:r>
            <w:r w:rsidRPr="00415AF4">
              <w:rPr>
                <w:rFonts w:ascii="Constantia" w:hAnsi="Constantia" w:cs="Calibri"/>
                <w:color w:val="002060"/>
                <w:sz w:val="22"/>
                <w:szCs w:val="22"/>
              </w:rPr>
              <w:t xml:space="preserve"> Alimentation basée sur ce que nous connaissons de la physiologie de nos intestins et des nécessités de notre </w:t>
            </w:r>
            <w:proofErr w:type="spellStart"/>
            <w:r w:rsidRPr="00415AF4">
              <w:rPr>
                <w:rFonts w:ascii="Constantia" w:hAnsi="Constantia" w:cs="Calibri"/>
                <w:color w:val="002060"/>
                <w:sz w:val="22"/>
                <w:szCs w:val="22"/>
              </w:rPr>
              <w:t>microbiote</w:t>
            </w:r>
            <w:proofErr w:type="spellEnd"/>
            <w:r w:rsidRPr="00415AF4">
              <w:rPr>
                <w:rFonts w:ascii="Constantia" w:hAnsi="Constantia" w:cs="Calibri"/>
                <w:color w:val="002060"/>
                <w:sz w:val="22"/>
                <w:szCs w:val="22"/>
              </w:rPr>
              <w:t>, en suivant le sens commun et la cohérence évolutive de notre espèce. Introduire un aliment à la fois, à chaque trois jours en surveillant les manifestations cliniques anormales comme des gaz, des irritations de la peau, de la nervosité, de l’insomnie, des diarrhées, etc. Toutes ces manifestations sont des conséquences de l’altération de l’écologie microbienne intestinale. La fréquence des repas dépendra de la demande du bébé c’est-à-dire de son appétit. Il est reconnu qu’entre six et huit mois le bébé requiert de deux à trois repas par jour avec des aliments solides. Pour les bébés entre 9 et 23 mois, il faut de trois à quatre repas solides par jour</w:t>
            </w:r>
            <w:r w:rsidR="00FB31BD">
              <w:rPr>
                <w:rFonts w:ascii="Constantia" w:hAnsi="Constantia" w:cs="Calibri"/>
                <w:color w:val="002060"/>
                <w:sz w:val="22"/>
                <w:szCs w:val="22"/>
              </w:rPr>
              <w:t>,</w:t>
            </w:r>
            <w:r w:rsidRPr="00415AF4">
              <w:rPr>
                <w:rFonts w:ascii="Constantia" w:hAnsi="Constantia" w:cs="Calibri"/>
                <w:color w:val="002060"/>
                <w:sz w:val="22"/>
                <w:szCs w:val="22"/>
              </w:rPr>
              <w:t xml:space="preserve"> mais il faut insister sur le fait qu’au final, c’est le bébé qui commande et demande.</w:t>
            </w:r>
          </w:p>
        </w:tc>
      </w:tr>
      <w:tr w:rsidR="00A957F0" w:rsidRPr="00FB31BD" w:rsidTr="00F440F0">
        <w:tc>
          <w:tcPr>
            <w:tcW w:w="1242" w:type="dxa"/>
            <w:vAlign w:val="center"/>
          </w:tcPr>
          <w:p w:rsidR="00A957F0" w:rsidRPr="00A957F0" w:rsidRDefault="00A957F0" w:rsidP="00F440F0">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onstantia" w:hAnsi="Constantia" w:cs="Calibri"/>
                <w:smallCaps/>
                <w:color w:val="002060"/>
                <w:sz w:val="24"/>
                <w:szCs w:val="24"/>
              </w:rPr>
            </w:pPr>
            <w:r w:rsidRPr="00A957F0">
              <w:rPr>
                <w:rFonts w:ascii="Constantia" w:hAnsi="Constantia" w:cs="Calibri"/>
                <w:smallCaps/>
                <w:color w:val="002060"/>
                <w:sz w:val="24"/>
                <w:szCs w:val="24"/>
              </w:rPr>
              <w:t>0-6 mois</w:t>
            </w:r>
          </w:p>
        </w:tc>
        <w:tc>
          <w:tcPr>
            <w:tcW w:w="12103" w:type="dxa"/>
          </w:tcPr>
          <w:p w:rsidR="00A957F0" w:rsidRPr="00A957F0" w:rsidRDefault="00415AF4" w:rsidP="00F440F0">
            <w:pPr>
              <w:pStyle w:val="Corp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0"/>
              <w:ind w:left="317" w:hanging="317"/>
              <w:rPr>
                <w:rFonts w:ascii="Constantia" w:hAnsi="Constantia" w:cs="Calibri"/>
                <w:color w:val="002060"/>
                <w:sz w:val="22"/>
                <w:szCs w:val="22"/>
              </w:rPr>
            </w:pPr>
            <w:r>
              <w:rPr>
                <w:rFonts w:ascii="Constantia" w:hAnsi="Constantia" w:cs="Calibri"/>
                <w:color w:val="002060"/>
                <w:sz w:val="22"/>
                <w:szCs w:val="22"/>
              </w:rPr>
              <w:t>L</w:t>
            </w:r>
            <w:r w:rsidR="00A957F0" w:rsidRPr="00A957F0">
              <w:rPr>
                <w:rFonts w:ascii="Constantia" w:hAnsi="Constantia" w:cs="Calibri"/>
                <w:color w:val="002060"/>
                <w:sz w:val="22"/>
                <w:szCs w:val="22"/>
              </w:rPr>
              <w:t xml:space="preserve">’allaitement maternel devrait être exclusif et à la demande. </w:t>
            </w:r>
          </w:p>
          <w:p w:rsidR="00A957F0" w:rsidRPr="00A957F0" w:rsidRDefault="00A957F0" w:rsidP="00F440F0">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onstantia" w:hAnsi="Constantia" w:cs="Calibri"/>
                <w:color w:val="002060"/>
                <w:sz w:val="22"/>
                <w:szCs w:val="22"/>
              </w:rPr>
            </w:pPr>
            <w:r w:rsidRPr="00A957F0">
              <w:rPr>
                <w:rFonts w:ascii="Constantia" w:hAnsi="Constantia" w:cs="Calibri"/>
                <w:smallCaps/>
                <w:color w:val="002060"/>
                <w:sz w:val="22"/>
                <w:szCs w:val="22"/>
                <w:u w:val="single"/>
              </w:rPr>
              <w:t>Rationnel </w:t>
            </w:r>
            <w:r w:rsidRPr="00A957F0">
              <w:rPr>
                <w:rFonts w:ascii="Constantia" w:hAnsi="Constantia" w:cs="Calibri"/>
                <w:smallCaps/>
                <w:color w:val="002060"/>
                <w:sz w:val="22"/>
                <w:szCs w:val="22"/>
              </w:rPr>
              <w:t>:</w:t>
            </w:r>
            <w:r w:rsidRPr="00A957F0">
              <w:rPr>
                <w:rFonts w:ascii="Constantia" w:hAnsi="Constantia" w:cs="Calibri"/>
                <w:color w:val="002060"/>
                <w:sz w:val="22"/>
                <w:szCs w:val="22"/>
              </w:rPr>
              <w:t xml:space="preserve"> Une introduction plus précoce des aliments modifie le </w:t>
            </w:r>
            <w:r w:rsidR="007C52FD" w:rsidRPr="00A957F0">
              <w:rPr>
                <w:rFonts w:ascii="Constantia" w:hAnsi="Constantia" w:cs="Calibri"/>
                <w:color w:val="002060"/>
                <w:sz w:val="22"/>
                <w:szCs w:val="22"/>
              </w:rPr>
              <w:t>micro biote</w:t>
            </w:r>
            <w:r w:rsidRPr="00A957F0">
              <w:rPr>
                <w:rFonts w:ascii="Constantia" w:hAnsi="Constantia" w:cs="Calibri"/>
                <w:color w:val="002060"/>
                <w:sz w:val="22"/>
                <w:szCs w:val="22"/>
              </w:rPr>
              <w:t xml:space="preserve"> intestinal produisant une</w:t>
            </w:r>
            <w:r w:rsidR="007C52FD">
              <w:rPr>
                <w:rFonts w:ascii="Constantia" w:hAnsi="Constantia" w:cs="Calibri"/>
                <w:color w:val="002060"/>
                <w:sz w:val="22"/>
                <w:szCs w:val="22"/>
              </w:rPr>
              <w:t xml:space="preserve"> modulation de</w:t>
            </w:r>
            <w:r w:rsidRPr="00A957F0">
              <w:rPr>
                <w:rFonts w:ascii="Constantia" w:hAnsi="Constantia" w:cs="Calibri"/>
                <w:color w:val="002060"/>
                <w:sz w:val="22"/>
                <w:szCs w:val="22"/>
              </w:rPr>
              <w:t xml:space="preserve"> la fonction barrière de la muqueuse intestinale et de promouvoir la maturation immunologique et celle des réponses inflammatoires.</w:t>
            </w:r>
          </w:p>
        </w:tc>
      </w:tr>
      <w:tr w:rsidR="00A957F0" w:rsidRPr="00FB31BD" w:rsidTr="00F440F0">
        <w:tc>
          <w:tcPr>
            <w:tcW w:w="1242" w:type="dxa"/>
            <w:vAlign w:val="center"/>
          </w:tcPr>
          <w:p w:rsidR="00A957F0" w:rsidRPr="00A957F0" w:rsidRDefault="00A957F0" w:rsidP="00F440F0">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onstantia" w:hAnsi="Constantia" w:cs="Calibri"/>
                <w:smallCaps/>
                <w:color w:val="002060"/>
                <w:sz w:val="24"/>
                <w:szCs w:val="24"/>
              </w:rPr>
            </w:pPr>
            <w:r w:rsidRPr="00A957F0">
              <w:rPr>
                <w:rFonts w:ascii="Constantia" w:hAnsi="Constantia" w:cs="Calibri"/>
                <w:smallCaps/>
                <w:color w:val="002060"/>
                <w:sz w:val="24"/>
                <w:szCs w:val="24"/>
              </w:rPr>
              <w:t>6-7 mois</w:t>
            </w:r>
          </w:p>
        </w:tc>
        <w:tc>
          <w:tcPr>
            <w:tcW w:w="12103" w:type="dxa"/>
          </w:tcPr>
          <w:p w:rsidR="00A957F0" w:rsidRPr="00A957F0" w:rsidRDefault="007C52FD" w:rsidP="00F440F0">
            <w:pPr>
              <w:pStyle w:val="Corp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8" w:hanging="318"/>
              <w:rPr>
                <w:rFonts w:ascii="Constantia" w:hAnsi="Constantia" w:cs="Calibri"/>
                <w:color w:val="002060"/>
                <w:sz w:val="22"/>
                <w:szCs w:val="22"/>
              </w:rPr>
            </w:pPr>
            <w:r>
              <w:rPr>
                <w:rFonts w:ascii="Constantia" w:hAnsi="Constantia" w:cs="Calibri"/>
                <w:color w:val="002060"/>
                <w:sz w:val="22"/>
                <w:szCs w:val="22"/>
              </w:rPr>
              <w:t>A</w:t>
            </w:r>
            <w:r w:rsidR="00A957F0" w:rsidRPr="00A957F0">
              <w:rPr>
                <w:rFonts w:ascii="Constantia" w:hAnsi="Constantia" w:cs="Calibri"/>
                <w:color w:val="002060"/>
                <w:sz w:val="22"/>
                <w:szCs w:val="22"/>
              </w:rPr>
              <w:t xml:space="preserve">liments végétaux qui contiennent de petites quantités de fibre non fermentables tels que les tubercules et les racines comme la patate (sans peau), la patate douce ou igname, la carotte, le navet, la courge (citrouille, potiron), le panais, le manioc. </w:t>
            </w:r>
          </w:p>
          <w:p w:rsidR="00A957F0" w:rsidRPr="00A957F0" w:rsidRDefault="007C52FD" w:rsidP="00F440F0">
            <w:pPr>
              <w:pStyle w:val="Corp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8" w:hanging="318"/>
              <w:rPr>
                <w:rFonts w:ascii="Constantia" w:hAnsi="Constantia" w:cs="Calibri"/>
                <w:color w:val="002060"/>
                <w:sz w:val="22"/>
                <w:szCs w:val="22"/>
              </w:rPr>
            </w:pPr>
            <w:r>
              <w:rPr>
                <w:rFonts w:ascii="Constantia" w:hAnsi="Constantia" w:cs="Calibri"/>
                <w:color w:val="002060"/>
                <w:sz w:val="22"/>
                <w:szCs w:val="22"/>
              </w:rPr>
              <w:t>L</w:t>
            </w:r>
            <w:r w:rsidR="00A957F0" w:rsidRPr="00A957F0">
              <w:rPr>
                <w:rFonts w:ascii="Constantia" w:hAnsi="Constantia" w:cs="Calibri"/>
                <w:color w:val="002060"/>
                <w:sz w:val="22"/>
                <w:szCs w:val="22"/>
              </w:rPr>
              <w:t>es fruits comme la banane, la mangue et l’avocat</w:t>
            </w:r>
          </w:p>
          <w:p w:rsidR="00A957F0" w:rsidRPr="00A957F0" w:rsidRDefault="007C52FD" w:rsidP="00F440F0">
            <w:pPr>
              <w:pStyle w:val="Corp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8" w:hanging="318"/>
              <w:rPr>
                <w:rFonts w:ascii="Constantia" w:hAnsi="Constantia" w:cs="Calibri"/>
                <w:color w:val="002060"/>
                <w:sz w:val="22"/>
                <w:szCs w:val="22"/>
              </w:rPr>
            </w:pPr>
            <w:r>
              <w:rPr>
                <w:rFonts w:ascii="Constantia" w:hAnsi="Constantia" w:cs="Calibri"/>
                <w:color w:val="002060"/>
                <w:sz w:val="22"/>
                <w:szCs w:val="22"/>
              </w:rPr>
              <w:t>L</w:t>
            </w:r>
            <w:r w:rsidR="00A957F0" w:rsidRPr="00A957F0">
              <w:rPr>
                <w:rFonts w:ascii="Constantia" w:hAnsi="Constantia" w:cs="Calibri"/>
                <w:color w:val="002060"/>
                <w:sz w:val="22"/>
                <w:szCs w:val="22"/>
              </w:rPr>
              <w:t>a pomme, la poire, l’abricot et la pêche peuvent aussi être introduits</w:t>
            </w:r>
            <w:r w:rsidR="00FB31BD">
              <w:rPr>
                <w:rFonts w:ascii="Constantia" w:hAnsi="Constantia" w:cs="Calibri"/>
                <w:color w:val="002060"/>
                <w:sz w:val="22"/>
                <w:szCs w:val="22"/>
              </w:rPr>
              <w:t>,</w:t>
            </w:r>
            <w:r w:rsidR="00A957F0" w:rsidRPr="00A957F0">
              <w:rPr>
                <w:rFonts w:ascii="Constantia" w:hAnsi="Constantia" w:cs="Calibri"/>
                <w:color w:val="002060"/>
                <w:sz w:val="22"/>
                <w:szCs w:val="22"/>
              </w:rPr>
              <w:t xml:space="preserve"> mais pelés et cuits pour éliminer la partie des fibres non fermentables et les composants allergènes principalement présents dans la peau</w:t>
            </w:r>
          </w:p>
          <w:p w:rsidR="00A957F0" w:rsidRPr="00A957F0" w:rsidRDefault="007C52FD" w:rsidP="00F440F0">
            <w:pPr>
              <w:pStyle w:val="Corp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8" w:hanging="318"/>
              <w:rPr>
                <w:rFonts w:ascii="Constantia" w:hAnsi="Constantia" w:cs="Calibri"/>
                <w:color w:val="002060"/>
                <w:sz w:val="22"/>
                <w:szCs w:val="22"/>
              </w:rPr>
            </w:pPr>
            <w:r>
              <w:rPr>
                <w:rFonts w:ascii="Constantia" w:hAnsi="Constantia" w:cs="Calibri"/>
                <w:color w:val="002060"/>
                <w:sz w:val="22"/>
                <w:szCs w:val="22"/>
              </w:rPr>
              <w:t>É</w:t>
            </w:r>
            <w:r w:rsidR="00A957F0" w:rsidRPr="00A957F0">
              <w:rPr>
                <w:rFonts w:ascii="Constantia" w:hAnsi="Constantia" w:cs="Calibri"/>
                <w:color w:val="002060"/>
                <w:sz w:val="22"/>
                <w:szCs w:val="22"/>
              </w:rPr>
              <w:t>viter le reste des fruits surtout les fruits rouges parce qu’ils peuvent déclencher des réactions pseudo-allergiques</w:t>
            </w:r>
          </w:p>
          <w:p w:rsidR="00A957F0" w:rsidRPr="00A957F0" w:rsidRDefault="007C52FD" w:rsidP="00F440F0">
            <w:pPr>
              <w:pStyle w:val="Corp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8" w:hanging="318"/>
              <w:rPr>
                <w:rFonts w:ascii="Constantia" w:hAnsi="Constantia" w:cs="Calibri"/>
                <w:color w:val="002060"/>
                <w:sz w:val="22"/>
                <w:szCs w:val="22"/>
              </w:rPr>
            </w:pPr>
            <w:r>
              <w:rPr>
                <w:rFonts w:ascii="Constantia" w:hAnsi="Constantia" w:cs="Calibri"/>
                <w:color w:val="002060"/>
                <w:sz w:val="22"/>
                <w:szCs w:val="22"/>
              </w:rPr>
              <w:t>U</w:t>
            </w:r>
            <w:r w:rsidR="00A957F0" w:rsidRPr="00A957F0">
              <w:rPr>
                <w:rFonts w:ascii="Constantia" w:hAnsi="Constantia" w:cs="Calibri"/>
                <w:color w:val="002060"/>
                <w:sz w:val="22"/>
                <w:szCs w:val="22"/>
              </w:rPr>
              <w:t xml:space="preserve">n jaune d’œuf </w:t>
            </w:r>
            <w:r w:rsidR="00D920F8">
              <w:rPr>
                <w:rFonts w:ascii="Constantia" w:hAnsi="Constantia" w:cs="Calibri"/>
                <w:color w:val="002060"/>
                <w:sz w:val="22"/>
                <w:szCs w:val="22"/>
              </w:rPr>
              <w:t>(bon gras)</w:t>
            </w:r>
          </w:p>
          <w:p w:rsidR="00A957F0" w:rsidRPr="00A957F0" w:rsidRDefault="007C52FD" w:rsidP="00F440F0">
            <w:pPr>
              <w:pStyle w:val="Corp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8" w:hanging="318"/>
              <w:rPr>
                <w:rFonts w:ascii="Constantia" w:hAnsi="Constantia" w:cs="Calibri"/>
                <w:color w:val="002060"/>
                <w:sz w:val="22"/>
                <w:szCs w:val="22"/>
              </w:rPr>
            </w:pPr>
            <w:r>
              <w:rPr>
                <w:rFonts w:ascii="Constantia" w:hAnsi="Constantia" w:cs="Calibri"/>
                <w:color w:val="002060"/>
                <w:sz w:val="22"/>
                <w:szCs w:val="22"/>
              </w:rPr>
              <w:t>L</w:t>
            </w:r>
            <w:r w:rsidR="00A957F0" w:rsidRPr="00A957F0">
              <w:rPr>
                <w:rFonts w:ascii="Constantia" w:hAnsi="Constantia" w:cs="Calibri"/>
                <w:color w:val="002060"/>
                <w:sz w:val="22"/>
                <w:szCs w:val="22"/>
              </w:rPr>
              <w:t>es poissons blancs sauvages comme la lotte ou la baudroie, le merlu ou le colin, la sole, le bar ou loup de mer, le doré et le turbot</w:t>
            </w:r>
            <w:r w:rsidR="00D920F8">
              <w:rPr>
                <w:rFonts w:ascii="Constantia" w:hAnsi="Constantia" w:cs="Calibri"/>
                <w:color w:val="002060"/>
                <w:sz w:val="22"/>
                <w:szCs w:val="22"/>
              </w:rPr>
              <w:t xml:space="preserve">, </w:t>
            </w:r>
          </w:p>
          <w:p w:rsidR="00A957F0" w:rsidRPr="00A957F0" w:rsidRDefault="007C52FD" w:rsidP="00F440F0">
            <w:pPr>
              <w:pStyle w:val="Corp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8" w:hanging="318"/>
              <w:rPr>
                <w:rFonts w:ascii="Constantia" w:hAnsi="Constantia" w:cs="Calibri"/>
                <w:color w:val="002060"/>
                <w:sz w:val="22"/>
                <w:szCs w:val="22"/>
              </w:rPr>
            </w:pPr>
            <w:r>
              <w:rPr>
                <w:rFonts w:ascii="Constantia" w:hAnsi="Constantia" w:cs="Calibri"/>
                <w:color w:val="002060"/>
                <w:sz w:val="22"/>
                <w:szCs w:val="22"/>
              </w:rPr>
              <w:t>L</w:t>
            </w:r>
            <w:r w:rsidR="00A957F0" w:rsidRPr="00A957F0">
              <w:rPr>
                <w:rFonts w:ascii="Constantia" w:hAnsi="Constantia" w:cs="Calibri"/>
                <w:color w:val="002060"/>
                <w:sz w:val="22"/>
                <w:szCs w:val="22"/>
              </w:rPr>
              <w:t>e foie de certains animaux de mer comme la lotte (très riche en vitamines A et D ainsi qu’en une majorité des nutriments essentiels que nécessitent notre organisme)</w:t>
            </w:r>
          </w:p>
        </w:tc>
      </w:tr>
      <w:tr w:rsidR="00A957F0" w:rsidRPr="00FB31BD" w:rsidTr="00F440F0">
        <w:tc>
          <w:tcPr>
            <w:tcW w:w="1242" w:type="dxa"/>
            <w:vAlign w:val="center"/>
          </w:tcPr>
          <w:p w:rsidR="00A957F0" w:rsidRPr="00A957F0" w:rsidRDefault="00A957F0" w:rsidP="00F440F0">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onstantia" w:hAnsi="Constantia" w:cs="Calibri"/>
                <w:smallCaps/>
                <w:color w:val="002060"/>
                <w:sz w:val="24"/>
                <w:szCs w:val="24"/>
              </w:rPr>
            </w:pPr>
            <w:r w:rsidRPr="00A957F0">
              <w:rPr>
                <w:rFonts w:ascii="Constantia" w:hAnsi="Constantia" w:cs="Calibri"/>
                <w:smallCaps/>
                <w:color w:val="002060"/>
                <w:sz w:val="24"/>
                <w:szCs w:val="24"/>
              </w:rPr>
              <w:t>8-9 mois</w:t>
            </w:r>
          </w:p>
        </w:tc>
        <w:tc>
          <w:tcPr>
            <w:tcW w:w="12103" w:type="dxa"/>
          </w:tcPr>
          <w:p w:rsidR="00A957F0" w:rsidRPr="00A957F0" w:rsidRDefault="007C52FD" w:rsidP="00F440F0">
            <w:pPr>
              <w:pStyle w:val="Corp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7" w:hanging="317"/>
              <w:rPr>
                <w:rFonts w:ascii="Constantia" w:hAnsi="Constantia" w:cs="Calibri"/>
                <w:color w:val="002060"/>
                <w:sz w:val="22"/>
                <w:szCs w:val="22"/>
              </w:rPr>
            </w:pPr>
            <w:r>
              <w:rPr>
                <w:rFonts w:ascii="Constantia" w:hAnsi="Constantia" w:cs="Calibri"/>
                <w:color w:val="002060"/>
                <w:sz w:val="22"/>
                <w:szCs w:val="22"/>
              </w:rPr>
              <w:t>L</w:t>
            </w:r>
            <w:r w:rsidR="00A957F0" w:rsidRPr="00A957F0">
              <w:rPr>
                <w:rFonts w:ascii="Constantia" w:hAnsi="Constantia" w:cs="Calibri"/>
                <w:color w:val="002060"/>
                <w:sz w:val="22"/>
                <w:szCs w:val="22"/>
              </w:rPr>
              <w:t xml:space="preserve">a viande maigre de bonne qualité, provenant d’animaux en liberté et qui sont alimentés avec ce que requière leur </w:t>
            </w:r>
            <w:r w:rsidR="00A957F0" w:rsidRPr="00A957F0">
              <w:rPr>
                <w:rFonts w:ascii="Constantia" w:hAnsi="Constantia" w:cs="Calibri"/>
                <w:color w:val="002060"/>
                <w:sz w:val="22"/>
                <w:szCs w:val="22"/>
              </w:rPr>
              <w:lastRenderedPageBreak/>
              <w:t>physiologie tel que le poulet</w:t>
            </w:r>
          </w:p>
          <w:p w:rsidR="00A957F0" w:rsidRPr="00A957F0" w:rsidRDefault="007C52FD" w:rsidP="00F440F0">
            <w:pPr>
              <w:pStyle w:val="Corp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7" w:hanging="317"/>
              <w:rPr>
                <w:rFonts w:ascii="Constantia" w:hAnsi="Constantia" w:cs="Calibri"/>
                <w:color w:val="002060"/>
                <w:sz w:val="22"/>
                <w:szCs w:val="22"/>
              </w:rPr>
            </w:pPr>
            <w:r>
              <w:rPr>
                <w:rFonts w:ascii="Constantia" w:hAnsi="Constantia" w:cs="Calibri"/>
                <w:color w:val="002060"/>
                <w:sz w:val="22"/>
                <w:szCs w:val="22"/>
              </w:rPr>
              <w:t>S</w:t>
            </w:r>
            <w:r w:rsidR="00A957F0" w:rsidRPr="00A957F0">
              <w:rPr>
                <w:rFonts w:ascii="Constantia" w:hAnsi="Constantia" w:cs="Calibri"/>
                <w:color w:val="002060"/>
                <w:sz w:val="22"/>
                <w:szCs w:val="22"/>
              </w:rPr>
              <w:t>i elle est bien tolérée</w:t>
            </w:r>
            <w:r w:rsidR="00BB59C0">
              <w:rPr>
                <w:rFonts w:ascii="Constantia" w:hAnsi="Constantia" w:cs="Calibri"/>
                <w:color w:val="002060"/>
                <w:sz w:val="22"/>
                <w:szCs w:val="22"/>
              </w:rPr>
              <w:t>,</w:t>
            </w:r>
            <w:r w:rsidR="00A957F0" w:rsidRPr="00A957F0">
              <w:rPr>
                <w:rFonts w:ascii="Constantia" w:hAnsi="Constantia" w:cs="Calibri"/>
                <w:color w:val="002060"/>
                <w:sz w:val="22"/>
                <w:szCs w:val="22"/>
              </w:rPr>
              <w:t xml:space="preserve"> on peut continuer petit à petit avec la viande rouge comme celle du veau et du cheval. </w:t>
            </w:r>
          </w:p>
          <w:p w:rsidR="00A957F0" w:rsidRPr="00A957F0" w:rsidRDefault="007C52FD" w:rsidP="00F440F0">
            <w:pPr>
              <w:pStyle w:val="Corp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7" w:hanging="317"/>
              <w:rPr>
                <w:rFonts w:ascii="Constantia" w:hAnsi="Constantia" w:cs="Calibri"/>
                <w:color w:val="002060"/>
                <w:sz w:val="22"/>
                <w:szCs w:val="22"/>
              </w:rPr>
            </w:pPr>
            <w:r>
              <w:rPr>
                <w:rFonts w:ascii="Constantia" w:hAnsi="Constantia" w:cs="Calibri"/>
                <w:color w:val="002060"/>
                <w:sz w:val="22"/>
                <w:szCs w:val="22"/>
              </w:rPr>
              <w:t>D</w:t>
            </w:r>
            <w:r w:rsidR="00A957F0" w:rsidRPr="00A957F0">
              <w:rPr>
                <w:rFonts w:ascii="Constantia" w:hAnsi="Constantia" w:cs="Calibri"/>
                <w:color w:val="002060"/>
                <w:sz w:val="22"/>
                <w:szCs w:val="22"/>
              </w:rPr>
              <w:t>es bouillons faits avec des os, ce qu’il va constituer un grand apport de minéraux</w:t>
            </w:r>
          </w:p>
          <w:p w:rsidR="00A957F0" w:rsidRPr="00A957F0" w:rsidRDefault="007C52FD" w:rsidP="00F440F0">
            <w:pPr>
              <w:pStyle w:val="Corp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7" w:hanging="317"/>
              <w:rPr>
                <w:rFonts w:ascii="Constantia" w:hAnsi="Constantia" w:cs="Calibri"/>
                <w:color w:val="002060"/>
                <w:sz w:val="22"/>
                <w:szCs w:val="22"/>
              </w:rPr>
            </w:pPr>
            <w:r>
              <w:rPr>
                <w:rFonts w:ascii="Constantia" w:hAnsi="Constantia" w:cs="Calibri"/>
                <w:color w:val="002060"/>
                <w:sz w:val="22"/>
                <w:szCs w:val="22"/>
              </w:rPr>
              <w:t>D</w:t>
            </w:r>
            <w:r w:rsidR="00A957F0" w:rsidRPr="00A957F0">
              <w:rPr>
                <w:rFonts w:ascii="Constantia" w:hAnsi="Constantia" w:cs="Calibri"/>
                <w:color w:val="002060"/>
                <w:sz w:val="22"/>
                <w:szCs w:val="22"/>
              </w:rPr>
              <w:t>e petite</w:t>
            </w:r>
            <w:r w:rsidR="00BB59C0">
              <w:rPr>
                <w:rFonts w:ascii="Constantia" w:hAnsi="Constantia" w:cs="Calibri"/>
                <w:color w:val="002060"/>
                <w:sz w:val="22"/>
                <w:szCs w:val="22"/>
              </w:rPr>
              <w:t>s</w:t>
            </w:r>
            <w:r w:rsidR="00A957F0" w:rsidRPr="00A957F0">
              <w:rPr>
                <w:rFonts w:ascii="Constantia" w:hAnsi="Constantia" w:cs="Calibri"/>
                <w:color w:val="002060"/>
                <w:sz w:val="22"/>
                <w:szCs w:val="22"/>
              </w:rPr>
              <w:t xml:space="preserve"> quantité</w:t>
            </w:r>
            <w:r w:rsidR="00BB59C0">
              <w:rPr>
                <w:rFonts w:ascii="Constantia" w:hAnsi="Constantia" w:cs="Calibri"/>
                <w:color w:val="002060"/>
                <w:sz w:val="22"/>
                <w:szCs w:val="22"/>
              </w:rPr>
              <w:t>s</w:t>
            </w:r>
            <w:r w:rsidR="00A957F0" w:rsidRPr="00A957F0">
              <w:rPr>
                <w:rFonts w:ascii="Constantia" w:hAnsi="Constantia" w:cs="Calibri"/>
                <w:color w:val="002060"/>
                <w:sz w:val="22"/>
                <w:szCs w:val="22"/>
              </w:rPr>
              <w:t xml:space="preserve"> d’huile d’olive vierge et pressée à froid ainsi que de l’huile de coco vierge en les ajoutant toujours crues à la fin de la cuisson</w:t>
            </w:r>
          </w:p>
          <w:p w:rsidR="00A957F0" w:rsidRPr="00A957F0" w:rsidRDefault="007C52FD" w:rsidP="00F440F0">
            <w:pPr>
              <w:pStyle w:val="Corp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7" w:hanging="317"/>
              <w:rPr>
                <w:rFonts w:ascii="Constantia" w:hAnsi="Constantia" w:cs="Calibri"/>
                <w:color w:val="002060"/>
                <w:sz w:val="22"/>
                <w:szCs w:val="22"/>
              </w:rPr>
            </w:pPr>
            <w:r>
              <w:rPr>
                <w:rFonts w:ascii="Constantia" w:hAnsi="Constantia" w:cs="Calibri"/>
                <w:color w:val="002060"/>
                <w:sz w:val="22"/>
                <w:szCs w:val="22"/>
              </w:rPr>
              <w:t>D</w:t>
            </w:r>
            <w:r w:rsidR="00A957F0" w:rsidRPr="00A957F0">
              <w:rPr>
                <w:rFonts w:ascii="Constantia" w:hAnsi="Constantia" w:cs="Calibri"/>
                <w:color w:val="002060"/>
                <w:sz w:val="22"/>
                <w:szCs w:val="22"/>
              </w:rPr>
              <w:t xml:space="preserve">es légumes qui contiennent plus de fibres non fermentables </w:t>
            </w:r>
            <w:bookmarkStart w:id="0" w:name="_GoBack"/>
            <w:r w:rsidR="00A957F0" w:rsidRPr="00A957F0">
              <w:rPr>
                <w:rFonts w:ascii="Constantia" w:hAnsi="Constantia" w:cs="Calibri"/>
                <w:color w:val="002060"/>
                <w:sz w:val="22"/>
                <w:szCs w:val="22"/>
              </w:rPr>
              <w:t>tel</w:t>
            </w:r>
            <w:r w:rsidR="00FB31BD">
              <w:rPr>
                <w:rFonts w:ascii="Constantia" w:hAnsi="Constantia" w:cs="Calibri"/>
                <w:color w:val="002060"/>
                <w:sz w:val="22"/>
                <w:szCs w:val="22"/>
              </w:rPr>
              <w:t>le</w:t>
            </w:r>
            <w:r w:rsidR="00A957F0" w:rsidRPr="00A957F0">
              <w:rPr>
                <w:rFonts w:ascii="Constantia" w:hAnsi="Constantia" w:cs="Calibri"/>
                <w:color w:val="002060"/>
                <w:sz w:val="22"/>
                <w:szCs w:val="22"/>
              </w:rPr>
              <w:t>s</w:t>
            </w:r>
            <w:bookmarkEnd w:id="0"/>
            <w:r w:rsidR="00A957F0" w:rsidRPr="00A957F0">
              <w:rPr>
                <w:rFonts w:ascii="Constantia" w:hAnsi="Constantia" w:cs="Calibri"/>
                <w:color w:val="002060"/>
                <w:sz w:val="22"/>
                <w:szCs w:val="22"/>
              </w:rPr>
              <w:t xml:space="preserve"> que l’oignon, l’ail et le poireau</w:t>
            </w:r>
            <w:r w:rsidR="00BB59C0">
              <w:rPr>
                <w:rFonts w:ascii="Constantia" w:hAnsi="Constantia" w:cs="Calibri"/>
                <w:color w:val="002060"/>
                <w:sz w:val="22"/>
                <w:szCs w:val="22"/>
              </w:rPr>
              <w:t>,</w:t>
            </w:r>
            <w:r w:rsidR="00A957F0" w:rsidRPr="00A957F0">
              <w:rPr>
                <w:rFonts w:ascii="Constantia" w:hAnsi="Constantia" w:cs="Calibri"/>
                <w:color w:val="002060"/>
                <w:sz w:val="22"/>
                <w:szCs w:val="22"/>
              </w:rPr>
              <w:t xml:space="preserve"> mais bien cuits pour en faciliter la digestion</w:t>
            </w:r>
          </w:p>
        </w:tc>
      </w:tr>
      <w:tr w:rsidR="00A957F0" w:rsidRPr="00FB31BD" w:rsidTr="00F440F0">
        <w:tc>
          <w:tcPr>
            <w:tcW w:w="1242" w:type="dxa"/>
            <w:vAlign w:val="center"/>
          </w:tcPr>
          <w:p w:rsidR="00A957F0" w:rsidRPr="00A957F0" w:rsidRDefault="00A957F0" w:rsidP="00F440F0">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onstantia" w:hAnsi="Constantia" w:cs="Calibri"/>
                <w:smallCaps/>
                <w:color w:val="002060"/>
                <w:sz w:val="24"/>
                <w:szCs w:val="24"/>
              </w:rPr>
            </w:pPr>
            <w:r w:rsidRPr="00A957F0">
              <w:rPr>
                <w:rFonts w:ascii="Constantia" w:hAnsi="Constantia" w:cs="Calibri"/>
                <w:smallCaps/>
                <w:color w:val="002060"/>
                <w:sz w:val="24"/>
                <w:szCs w:val="24"/>
              </w:rPr>
              <w:lastRenderedPageBreak/>
              <w:t>10-11 mois</w:t>
            </w:r>
          </w:p>
        </w:tc>
        <w:tc>
          <w:tcPr>
            <w:tcW w:w="12103" w:type="dxa"/>
          </w:tcPr>
          <w:p w:rsidR="00A957F0" w:rsidRPr="00A957F0" w:rsidRDefault="007C52FD" w:rsidP="00F440F0">
            <w:pPr>
              <w:pStyle w:val="Corp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8" w:hanging="284"/>
              <w:rPr>
                <w:rFonts w:ascii="Constantia" w:hAnsi="Constantia" w:cs="Calibri"/>
                <w:color w:val="002060"/>
                <w:sz w:val="22"/>
                <w:szCs w:val="22"/>
              </w:rPr>
            </w:pPr>
            <w:r>
              <w:rPr>
                <w:rFonts w:ascii="Constantia" w:hAnsi="Constantia" w:cs="Calibri"/>
                <w:color w:val="002060"/>
                <w:sz w:val="22"/>
                <w:szCs w:val="22"/>
              </w:rPr>
              <w:t>L</w:t>
            </w:r>
            <w:r w:rsidR="00A957F0" w:rsidRPr="00A957F0">
              <w:rPr>
                <w:rFonts w:ascii="Constantia" w:hAnsi="Constantia" w:cs="Calibri"/>
                <w:color w:val="002060"/>
                <w:sz w:val="22"/>
                <w:szCs w:val="22"/>
              </w:rPr>
              <w:t>es légumes fermentés comme la choucroute</w:t>
            </w:r>
          </w:p>
          <w:p w:rsidR="00A957F0" w:rsidRPr="00A957F0" w:rsidRDefault="007C52FD" w:rsidP="00F440F0">
            <w:pPr>
              <w:pStyle w:val="Corp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8" w:hanging="284"/>
              <w:rPr>
                <w:rFonts w:ascii="Constantia" w:hAnsi="Constantia" w:cs="Calibri"/>
                <w:color w:val="002060"/>
                <w:sz w:val="22"/>
                <w:szCs w:val="22"/>
              </w:rPr>
            </w:pPr>
            <w:r>
              <w:rPr>
                <w:rFonts w:ascii="Constantia" w:hAnsi="Constantia" w:cs="Calibri"/>
                <w:color w:val="002060"/>
                <w:sz w:val="22"/>
                <w:szCs w:val="22"/>
              </w:rPr>
              <w:t>T</w:t>
            </w:r>
            <w:r w:rsidR="00A957F0" w:rsidRPr="00A957F0">
              <w:rPr>
                <w:rFonts w:ascii="Constantia" w:hAnsi="Constantia" w:cs="Calibri"/>
                <w:color w:val="002060"/>
                <w:sz w:val="22"/>
                <w:szCs w:val="22"/>
              </w:rPr>
              <w:t>ous types de poissons et fruits de mer</w:t>
            </w:r>
          </w:p>
        </w:tc>
      </w:tr>
      <w:tr w:rsidR="00A957F0" w:rsidRPr="00AE0336" w:rsidTr="00F440F0">
        <w:tc>
          <w:tcPr>
            <w:tcW w:w="1242" w:type="dxa"/>
            <w:vAlign w:val="center"/>
          </w:tcPr>
          <w:p w:rsidR="00A957F0" w:rsidRPr="00A957F0" w:rsidRDefault="00A957F0" w:rsidP="00F440F0">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onstantia" w:hAnsi="Constantia" w:cs="Calibri"/>
                <w:smallCaps/>
                <w:color w:val="002060"/>
                <w:sz w:val="24"/>
                <w:szCs w:val="24"/>
              </w:rPr>
            </w:pPr>
            <w:r w:rsidRPr="00A957F0">
              <w:rPr>
                <w:rFonts w:ascii="Constantia" w:hAnsi="Constantia" w:cs="Calibri"/>
                <w:smallCaps/>
                <w:color w:val="002060"/>
                <w:sz w:val="24"/>
                <w:szCs w:val="24"/>
              </w:rPr>
              <w:t>12 mois</w:t>
            </w:r>
          </w:p>
        </w:tc>
        <w:tc>
          <w:tcPr>
            <w:tcW w:w="12103" w:type="dxa"/>
          </w:tcPr>
          <w:p w:rsidR="00A957F0" w:rsidRPr="00A957F0" w:rsidRDefault="007C52FD" w:rsidP="00F440F0">
            <w:pPr>
              <w:pStyle w:val="Corp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7" w:hanging="317"/>
              <w:rPr>
                <w:rFonts w:ascii="Constantia" w:hAnsi="Constantia" w:cs="Calibri"/>
                <w:color w:val="002060"/>
                <w:sz w:val="22"/>
                <w:szCs w:val="22"/>
              </w:rPr>
            </w:pPr>
            <w:r>
              <w:rPr>
                <w:rFonts w:ascii="Constantia" w:hAnsi="Constantia" w:cs="Calibri"/>
                <w:color w:val="002060"/>
                <w:sz w:val="22"/>
                <w:szCs w:val="22"/>
              </w:rPr>
              <w:t>L</w:t>
            </w:r>
            <w:r w:rsidR="00A957F0" w:rsidRPr="00A957F0">
              <w:rPr>
                <w:rFonts w:ascii="Constantia" w:hAnsi="Constantia" w:cs="Calibri"/>
                <w:color w:val="002060"/>
                <w:sz w:val="22"/>
                <w:szCs w:val="22"/>
              </w:rPr>
              <w:t>es légumes riches en fibres non fermentables comme le brocoli, le chou, le chou frisé, les choux de Bruxelles, le poivron, l’aubergine, la laitue, le cresson et la roquette. Il faut les faire cuire pour faciliter la digestion de leurs fibres.</w:t>
            </w:r>
          </w:p>
          <w:p w:rsidR="00A957F0" w:rsidRPr="00A957F0" w:rsidRDefault="007C52FD" w:rsidP="00F440F0">
            <w:pPr>
              <w:pStyle w:val="Corp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7" w:hanging="317"/>
              <w:rPr>
                <w:rFonts w:ascii="Constantia" w:hAnsi="Constantia" w:cs="Calibri"/>
                <w:color w:val="002060"/>
                <w:sz w:val="22"/>
                <w:szCs w:val="22"/>
              </w:rPr>
            </w:pPr>
            <w:r>
              <w:rPr>
                <w:rFonts w:ascii="Constantia" w:hAnsi="Constantia" w:cs="Calibri"/>
                <w:color w:val="002060"/>
                <w:sz w:val="22"/>
                <w:szCs w:val="22"/>
              </w:rPr>
              <w:t>L</w:t>
            </w:r>
            <w:r w:rsidR="00A957F0" w:rsidRPr="00A957F0">
              <w:rPr>
                <w:rFonts w:ascii="Constantia" w:hAnsi="Constantia" w:cs="Calibri"/>
                <w:color w:val="002060"/>
                <w:sz w:val="22"/>
                <w:szCs w:val="22"/>
              </w:rPr>
              <w:t>e reste des fruits pas encore présentés à savoir la mandarine, la pastèque ou le melon d’eau, le melon, le kaki selon les fruits de saison disponibles. Les fruits rouges seront introduits à 18 mois parce qu’ils peuvent produire des réactions pseudo allergique.</w:t>
            </w:r>
          </w:p>
          <w:p w:rsidR="00A957F0" w:rsidRPr="00A957F0" w:rsidRDefault="007C52FD" w:rsidP="00F440F0">
            <w:pPr>
              <w:pStyle w:val="Corp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7" w:hanging="317"/>
              <w:rPr>
                <w:rFonts w:ascii="Constantia" w:hAnsi="Constantia" w:cs="Calibri"/>
                <w:color w:val="002060"/>
                <w:sz w:val="22"/>
                <w:szCs w:val="22"/>
              </w:rPr>
            </w:pPr>
            <w:r>
              <w:rPr>
                <w:rFonts w:ascii="Constantia" w:hAnsi="Constantia" w:cs="Calibri"/>
                <w:color w:val="002060"/>
                <w:sz w:val="22"/>
                <w:szCs w:val="22"/>
              </w:rPr>
              <w:t>D</w:t>
            </w:r>
            <w:r w:rsidR="00A957F0" w:rsidRPr="00A957F0">
              <w:rPr>
                <w:rFonts w:ascii="Constantia" w:hAnsi="Constantia" w:cs="Calibri"/>
                <w:color w:val="002060"/>
                <w:sz w:val="22"/>
                <w:szCs w:val="22"/>
              </w:rPr>
              <w:t xml:space="preserve">es fruits secs comme les amandes, les noix de pin, les noisettes ainsi que des graines oléagineuses: de sésame, de tournesol et de citrouille </w:t>
            </w:r>
            <w:proofErr w:type="gramStart"/>
            <w:r w:rsidR="00A957F0" w:rsidRPr="00A957F0">
              <w:rPr>
                <w:rFonts w:ascii="Constantia" w:hAnsi="Constantia" w:cs="Calibri"/>
                <w:color w:val="002060"/>
                <w:sz w:val="22"/>
                <w:szCs w:val="22"/>
              </w:rPr>
              <w:t>( !!</w:t>
            </w:r>
            <w:proofErr w:type="gramEnd"/>
            <w:r w:rsidR="00A957F0" w:rsidRPr="00A957F0">
              <w:rPr>
                <w:rFonts w:ascii="Constantia" w:hAnsi="Constantia" w:cs="Calibri"/>
                <w:color w:val="002060"/>
                <w:sz w:val="22"/>
                <w:szCs w:val="22"/>
              </w:rPr>
              <w:t xml:space="preserve"> toujours moulues ou concassées pour éviter les étouffements). Pour en faciliter la digestion, les faire tremper dans de l’eau avec quelques gouttes de jus de citron ou de vinaigre, de 12 à 18 heures avant de les écraser. Les faire griller est aussi une bonne option.</w:t>
            </w:r>
          </w:p>
        </w:tc>
      </w:tr>
      <w:tr w:rsidR="00A957F0" w:rsidRPr="00FB31BD" w:rsidTr="00F440F0">
        <w:tc>
          <w:tcPr>
            <w:tcW w:w="1242" w:type="dxa"/>
            <w:vAlign w:val="center"/>
          </w:tcPr>
          <w:p w:rsidR="00A957F0" w:rsidRPr="00A957F0" w:rsidRDefault="00A957F0" w:rsidP="00F440F0">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onstantia" w:hAnsi="Constantia" w:cs="Calibri"/>
                <w:smallCaps/>
                <w:color w:val="002060"/>
                <w:sz w:val="24"/>
                <w:szCs w:val="24"/>
              </w:rPr>
            </w:pPr>
            <w:r w:rsidRPr="00A957F0">
              <w:rPr>
                <w:rFonts w:ascii="Constantia" w:hAnsi="Constantia" w:cs="Calibri"/>
                <w:smallCaps/>
                <w:color w:val="002060"/>
                <w:sz w:val="24"/>
                <w:szCs w:val="24"/>
              </w:rPr>
              <w:t>Après 1 an</w:t>
            </w:r>
          </w:p>
        </w:tc>
        <w:tc>
          <w:tcPr>
            <w:tcW w:w="12103" w:type="dxa"/>
          </w:tcPr>
          <w:p w:rsidR="00A957F0" w:rsidRPr="00A957F0" w:rsidRDefault="007C52FD" w:rsidP="00F440F0">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7" w:hanging="317"/>
              <w:rPr>
                <w:rFonts w:ascii="Constantia" w:hAnsi="Constantia" w:cs="Calibri"/>
                <w:color w:val="002060"/>
                <w:sz w:val="22"/>
                <w:szCs w:val="22"/>
              </w:rPr>
            </w:pPr>
            <w:r>
              <w:rPr>
                <w:rFonts w:ascii="Constantia" w:hAnsi="Constantia" w:cs="Calibri"/>
                <w:color w:val="002060"/>
                <w:sz w:val="22"/>
                <w:szCs w:val="22"/>
              </w:rPr>
              <w:t>S</w:t>
            </w:r>
            <w:r w:rsidR="00A957F0" w:rsidRPr="00A957F0">
              <w:rPr>
                <w:rFonts w:ascii="Constantia" w:hAnsi="Constantia" w:cs="Calibri"/>
                <w:color w:val="002060"/>
                <w:sz w:val="22"/>
                <w:szCs w:val="22"/>
              </w:rPr>
              <w:t xml:space="preserve">i vous décidez d’offrir des produits laitiers à votre enfant, ils peuvent être débutés après la première année de vie. Ils doivent être de qualité, pas écrémés, pas enrichis, sans saveur, sucre ou édulcorant ajoutés ni sans... ni avec.... Simplement des produits laitiers entiers, avec tous leurs nutriments et gras; idéalement de brebis ou de chèvre, fermentés (meilleur le yogourt que le lait) et bien sûr meilleurs écologiques. </w:t>
            </w:r>
          </w:p>
          <w:p w:rsidR="00A957F0" w:rsidRPr="00A957F0" w:rsidRDefault="007C52FD" w:rsidP="00F440F0">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7" w:hanging="317"/>
              <w:rPr>
                <w:rFonts w:ascii="Constantia" w:hAnsi="Constantia" w:cs="Calibri"/>
                <w:color w:val="002060"/>
                <w:sz w:val="22"/>
                <w:szCs w:val="22"/>
              </w:rPr>
            </w:pPr>
            <w:r>
              <w:rPr>
                <w:rFonts w:ascii="Constantia" w:hAnsi="Constantia" w:cs="Calibri"/>
                <w:color w:val="002060"/>
                <w:sz w:val="22"/>
                <w:szCs w:val="22"/>
              </w:rPr>
              <w:t>L</w:t>
            </w:r>
            <w:r w:rsidR="00A957F0" w:rsidRPr="00A957F0">
              <w:rPr>
                <w:rFonts w:ascii="Constantia" w:hAnsi="Constantia" w:cs="Calibri"/>
                <w:color w:val="002060"/>
                <w:sz w:val="22"/>
                <w:szCs w:val="22"/>
              </w:rPr>
              <w:t>es laits végétaux, ceux sans gluten comme de coco ou d’avoine</w:t>
            </w:r>
          </w:p>
          <w:p w:rsidR="00A957F0" w:rsidRPr="00A957F0" w:rsidRDefault="007C52FD" w:rsidP="00F440F0">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7" w:hanging="317"/>
              <w:rPr>
                <w:rFonts w:ascii="Constantia" w:hAnsi="Constantia" w:cs="Calibri"/>
                <w:color w:val="002060"/>
                <w:sz w:val="22"/>
                <w:szCs w:val="22"/>
              </w:rPr>
            </w:pPr>
            <w:r>
              <w:rPr>
                <w:rFonts w:ascii="Constantia" w:hAnsi="Constantia" w:cs="Calibri"/>
                <w:color w:val="002060"/>
                <w:sz w:val="22"/>
                <w:szCs w:val="22"/>
              </w:rPr>
              <w:t>L</w:t>
            </w:r>
            <w:r w:rsidR="00A957F0" w:rsidRPr="00A957F0">
              <w:rPr>
                <w:rFonts w:ascii="Constantia" w:hAnsi="Constantia" w:cs="Calibri"/>
                <w:color w:val="002060"/>
                <w:sz w:val="22"/>
                <w:szCs w:val="22"/>
              </w:rPr>
              <w:t xml:space="preserve">es épinards et la </w:t>
            </w:r>
            <w:proofErr w:type="spellStart"/>
            <w:r w:rsidR="00A957F0" w:rsidRPr="00A957F0">
              <w:rPr>
                <w:rFonts w:ascii="Constantia" w:hAnsi="Constantia" w:cs="Calibri"/>
                <w:color w:val="002060"/>
                <w:sz w:val="22"/>
                <w:szCs w:val="22"/>
              </w:rPr>
              <w:t>bette</w:t>
            </w:r>
            <w:proofErr w:type="spellEnd"/>
            <w:r w:rsidR="00A957F0" w:rsidRPr="00A957F0">
              <w:rPr>
                <w:rFonts w:ascii="Constantia" w:hAnsi="Constantia" w:cs="Calibri"/>
                <w:color w:val="002060"/>
                <w:sz w:val="22"/>
                <w:szCs w:val="22"/>
              </w:rPr>
              <w:t xml:space="preserve"> à carde ont un taux élevé de nitrates, pas plus d’une portion par semaine jusqu’à l’âge de 3 ans</w:t>
            </w:r>
          </w:p>
          <w:p w:rsidR="00A957F0" w:rsidRPr="00A957F0" w:rsidRDefault="007C52FD" w:rsidP="00F440F0">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7" w:hanging="317"/>
              <w:rPr>
                <w:rFonts w:ascii="Constantia" w:hAnsi="Constantia" w:cs="Calibri"/>
                <w:color w:val="002060"/>
                <w:sz w:val="22"/>
                <w:szCs w:val="22"/>
              </w:rPr>
            </w:pPr>
            <w:r>
              <w:rPr>
                <w:rFonts w:ascii="Constantia" w:hAnsi="Constantia" w:cs="Calibri"/>
                <w:color w:val="002060"/>
                <w:sz w:val="22"/>
                <w:szCs w:val="22"/>
              </w:rPr>
              <w:t>L</w:t>
            </w:r>
            <w:r w:rsidR="00A957F0" w:rsidRPr="00A957F0">
              <w:rPr>
                <w:rFonts w:ascii="Constantia" w:hAnsi="Constantia" w:cs="Calibri"/>
                <w:color w:val="002060"/>
                <w:sz w:val="22"/>
                <w:szCs w:val="22"/>
              </w:rPr>
              <w:t>es légumineuses : les faire tremper pour un minimum de 24 heures et les cuire plus de 2 heure</w:t>
            </w:r>
            <w:r w:rsidR="00BB59C0">
              <w:rPr>
                <w:rFonts w:ascii="Constantia" w:hAnsi="Constantia" w:cs="Calibri"/>
                <w:color w:val="002060"/>
                <w:sz w:val="22"/>
                <w:szCs w:val="22"/>
              </w:rPr>
              <w:t>s</w:t>
            </w:r>
            <w:r w:rsidR="00A957F0" w:rsidRPr="00A957F0">
              <w:rPr>
                <w:rFonts w:ascii="Constantia" w:hAnsi="Constantia" w:cs="Calibri"/>
                <w:color w:val="002060"/>
                <w:sz w:val="22"/>
                <w:szCs w:val="22"/>
              </w:rPr>
              <w:t xml:space="preserve"> en retirant l’écume produite (cela convertit un aliment difficile à digérer en un aliment plus assimilable et qui est une bonne source de protéine).</w:t>
            </w:r>
          </w:p>
          <w:p w:rsidR="00A957F0" w:rsidRPr="00A957F0" w:rsidRDefault="007C52FD" w:rsidP="00F440F0">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ind w:left="317" w:hanging="317"/>
              <w:rPr>
                <w:rFonts w:ascii="Constantia" w:hAnsi="Constantia" w:cs="Calibri"/>
                <w:color w:val="002060"/>
                <w:sz w:val="22"/>
                <w:szCs w:val="22"/>
              </w:rPr>
            </w:pPr>
            <w:r>
              <w:rPr>
                <w:rFonts w:ascii="Constantia" w:hAnsi="Constantia" w:cs="Calibri"/>
                <w:color w:val="002060"/>
                <w:sz w:val="22"/>
                <w:szCs w:val="22"/>
              </w:rPr>
              <w:lastRenderedPageBreak/>
              <w:t>D</w:t>
            </w:r>
            <w:r w:rsidR="00A957F0" w:rsidRPr="00A957F0">
              <w:rPr>
                <w:rFonts w:ascii="Constantia" w:hAnsi="Constantia" w:cs="Calibri"/>
                <w:color w:val="002060"/>
                <w:sz w:val="22"/>
                <w:szCs w:val="22"/>
              </w:rPr>
              <w:t xml:space="preserve">es céréales sans gluten comme le riz, le sarrasin et le quinoa. </w:t>
            </w:r>
          </w:p>
          <w:p w:rsidR="00A957F0" w:rsidRPr="00A957F0" w:rsidRDefault="00A957F0" w:rsidP="00F440F0">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60"/>
              <w:ind w:left="317"/>
              <w:rPr>
                <w:rFonts w:ascii="Constantia" w:hAnsi="Constantia" w:cs="Calibri"/>
                <w:color w:val="002060"/>
                <w:sz w:val="22"/>
                <w:szCs w:val="22"/>
              </w:rPr>
            </w:pPr>
            <w:r w:rsidRPr="00A957F0">
              <w:rPr>
                <w:rFonts w:ascii="Constantia" w:hAnsi="Constantia" w:cs="Calibri"/>
                <w:color w:val="002060"/>
                <w:sz w:val="22"/>
                <w:szCs w:val="22"/>
              </w:rPr>
              <w:t xml:space="preserve">La recommandation pour les céréales qui contiennent du gluten comme le blé, le seigle et l’orge est de les introduire sporadiquement et non pour une consommation régulière. Il est préférable d’introduire le pain bien fermenté. Un pain élaboré avec des variétés anciennes de blé comme le </w:t>
            </w:r>
            <w:proofErr w:type="spellStart"/>
            <w:r w:rsidRPr="00A957F0">
              <w:rPr>
                <w:rFonts w:ascii="Constantia" w:hAnsi="Constantia" w:cs="Calibri"/>
                <w:color w:val="002060"/>
                <w:sz w:val="22"/>
                <w:szCs w:val="22"/>
              </w:rPr>
              <w:t>kamut</w:t>
            </w:r>
            <w:proofErr w:type="spellEnd"/>
            <w:r w:rsidRPr="00A957F0">
              <w:rPr>
                <w:rFonts w:ascii="Constantia" w:hAnsi="Constantia" w:cs="Calibri"/>
                <w:color w:val="002060"/>
                <w:sz w:val="22"/>
                <w:szCs w:val="22"/>
              </w:rPr>
              <w:t xml:space="preserve"> et l’épeautre, qui contiennent moins de gluten et sont plus digestibles sera une bonne option. </w:t>
            </w:r>
          </w:p>
        </w:tc>
      </w:tr>
    </w:tbl>
    <w:p w:rsidR="00A957F0" w:rsidRDefault="00A957F0">
      <w:pPr>
        <w:rPr>
          <w:lang w:val="fr-CA"/>
        </w:rPr>
      </w:pPr>
    </w:p>
    <w:p w:rsidR="007C52FD" w:rsidRDefault="007C52FD">
      <w:pPr>
        <w:rPr>
          <w:lang w:val="fr-CA"/>
        </w:rPr>
      </w:pPr>
    </w:p>
    <w:p w:rsidR="007C52FD" w:rsidRDefault="007C52FD">
      <w:pPr>
        <w:rPr>
          <w:lang w:val="fr-CA"/>
        </w:rPr>
      </w:pPr>
      <w:r>
        <w:rPr>
          <w:lang w:val="fr-CA"/>
        </w:rPr>
        <w:t xml:space="preserve">Informations extraites de : </w:t>
      </w:r>
    </w:p>
    <w:p w:rsidR="007C52FD" w:rsidRDefault="007C52FD" w:rsidP="007C52FD">
      <w:pPr>
        <w:pStyle w:val="Paragraphedeliste"/>
        <w:numPr>
          <w:ilvl w:val="0"/>
          <w:numId w:val="6"/>
        </w:numPr>
        <w:rPr>
          <w:lang w:val="fr-CA"/>
        </w:rPr>
      </w:pPr>
      <w:proofErr w:type="spellStart"/>
      <w:r>
        <w:rPr>
          <w:lang w:val="fr-CA"/>
        </w:rPr>
        <w:t>Ninos</w:t>
      </w:r>
      <w:proofErr w:type="spellEnd"/>
      <w:r>
        <w:rPr>
          <w:lang w:val="fr-CA"/>
        </w:rPr>
        <w:t xml:space="preserve"> </w:t>
      </w:r>
      <w:proofErr w:type="spellStart"/>
      <w:r>
        <w:rPr>
          <w:lang w:val="fr-CA"/>
        </w:rPr>
        <w:t>Sanos</w:t>
      </w:r>
      <w:proofErr w:type="spellEnd"/>
      <w:r>
        <w:rPr>
          <w:lang w:val="fr-CA"/>
        </w:rPr>
        <w:t xml:space="preserve">, </w:t>
      </w:r>
      <w:proofErr w:type="spellStart"/>
      <w:r>
        <w:rPr>
          <w:lang w:val="fr-CA"/>
        </w:rPr>
        <w:t>Adultos</w:t>
      </w:r>
      <w:proofErr w:type="spellEnd"/>
      <w:r>
        <w:rPr>
          <w:lang w:val="fr-CA"/>
        </w:rPr>
        <w:t xml:space="preserve"> </w:t>
      </w:r>
      <w:proofErr w:type="spellStart"/>
      <w:r>
        <w:rPr>
          <w:lang w:val="fr-CA"/>
        </w:rPr>
        <w:t>sanos</w:t>
      </w:r>
      <w:proofErr w:type="spellEnd"/>
      <w:r>
        <w:rPr>
          <w:lang w:val="fr-CA"/>
        </w:rPr>
        <w:t xml:space="preserve">; La </w:t>
      </w:r>
      <w:proofErr w:type="spellStart"/>
      <w:r>
        <w:rPr>
          <w:lang w:val="fr-CA"/>
        </w:rPr>
        <w:t>salud</w:t>
      </w:r>
      <w:proofErr w:type="spellEnd"/>
      <w:r>
        <w:rPr>
          <w:lang w:val="fr-CA"/>
        </w:rPr>
        <w:t xml:space="preserve"> </w:t>
      </w:r>
      <w:proofErr w:type="spellStart"/>
      <w:r>
        <w:rPr>
          <w:lang w:val="fr-CA"/>
        </w:rPr>
        <w:t>empleza</w:t>
      </w:r>
      <w:proofErr w:type="spellEnd"/>
      <w:r>
        <w:rPr>
          <w:lang w:val="fr-CA"/>
        </w:rPr>
        <w:t xml:space="preserve"> a </w:t>
      </w:r>
      <w:proofErr w:type="spellStart"/>
      <w:r>
        <w:rPr>
          <w:lang w:val="fr-CA"/>
        </w:rPr>
        <w:t>programarse</w:t>
      </w:r>
      <w:proofErr w:type="spellEnd"/>
      <w:r>
        <w:rPr>
          <w:lang w:val="fr-CA"/>
        </w:rPr>
        <w:t xml:space="preserve"> en el </w:t>
      </w:r>
      <w:proofErr w:type="spellStart"/>
      <w:r>
        <w:rPr>
          <w:lang w:val="fr-CA"/>
        </w:rPr>
        <w:t>embarazo</w:t>
      </w:r>
      <w:proofErr w:type="spellEnd"/>
      <w:r>
        <w:rPr>
          <w:lang w:val="fr-CA"/>
        </w:rPr>
        <w:t xml:space="preserve">, </w:t>
      </w:r>
      <w:proofErr w:type="spellStart"/>
      <w:r>
        <w:rPr>
          <w:lang w:val="fr-CA"/>
        </w:rPr>
        <w:t>Xavi</w:t>
      </w:r>
      <w:proofErr w:type="spellEnd"/>
      <w:r>
        <w:rPr>
          <w:lang w:val="fr-CA"/>
        </w:rPr>
        <w:t xml:space="preserve"> </w:t>
      </w:r>
      <w:proofErr w:type="spellStart"/>
      <w:r>
        <w:rPr>
          <w:lang w:val="fr-CA"/>
        </w:rPr>
        <w:t>Canellas</w:t>
      </w:r>
      <w:proofErr w:type="spellEnd"/>
      <w:r>
        <w:rPr>
          <w:lang w:val="fr-CA"/>
        </w:rPr>
        <w:t xml:space="preserve"> y </w:t>
      </w:r>
      <w:proofErr w:type="spellStart"/>
      <w:r>
        <w:rPr>
          <w:lang w:val="fr-CA"/>
        </w:rPr>
        <w:t>Jesus</w:t>
      </w:r>
      <w:proofErr w:type="spellEnd"/>
      <w:r>
        <w:rPr>
          <w:lang w:val="fr-CA"/>
        </w:rPr>
        <w:t xml:space="preserve"> </w:t>
      </w:r>
      <w:proofErr w:type="spellStart"/>
      <w:r>
        <w:rPr>
          <w:lang w:val="fr-CA"/>
        </w:rPr>
        <w:t>Sanchis</w:t>
      </w:r>
      <w:proofErr w:type="spellEnd"/>
      <w:r>
        <w:rPr>
          <w:lang w:val="fr-CA"/>
        </w:rPr>
        <w:t xml:space="preserve">, </w:t>
      </w:r>
      <w:proofErr w:type="spellStart"/>
      <w:r>
        <w:rPr>
          <w:lang w:val="fr-CA"/>
        </w:rPr>
        <w:t>Plataforma</w:t>
      </w:r>
      <w:proofErr w:type="spellEnd"/>
      <w:r>
        <w:rPr>
          <w:lang w:val="fr-CA"/>
        </w:rPr>
        <w:t xml:space="preserve"> </w:t>
      </w:r>
      <w:proofErr w:type="spellStart"/>
      <w:r>
        <w:rPr>
          <w:lang w:val="fr-CA"/>
        </w:rPr>
        <w:t>Actual</w:t>
      </w:r>
      <w:proofErr w:type="spellEnd"/>
      <w:r>
        <w:rPr>
          <w:lang w:val="fr-CA"/>
        </w:rPr>
        <w:t>.</w:t>
      </w:r>
    </w:p>
    <w:p w:rsidR="007C52FD" w:rsidRPr="007C52FD" w:rsidRDefault="007C52FD" w:rsidP="007C52FD">
      <w:pPr>
        <w:pStyle w:val="Paragraphedeliste"/>
        <w:numPr>
          <w:ilvl w:val="0"/>
          <w:numId w:val="6"/>
        </w:numPr>
        <w:rPr>
          <w:lang w:val="fr-CA"/>
        </w:rPr>
      </w:pPr>
      <w:r>
        <w:rPr>
          <w:noProof/>
          <w:lang w:val="fr-CA" w:eastAsia="fr-CA"/>
        </w:rPr>
        <w:drawing>
          <wp:anchor distT="152400" distB="152400" distL="152400" distR="152400" simplePos="0" relativeHeight="251661312" behindDoc="0" locked="0" layoutInCell="1" allowOverlap="1" wp14:anchorId="2C6F18C5" wp14:editId="3D15F683">
            <wp:simplePos x="0" y="0"/>
            <wp:positionH relativeFrom="margin">
              <wp:posOffset>4550410</wp:posOffset>
            </wp:positionH>
            <wp:positionV relativeFrom="line">
              <wp:posOffset>555522</wp:posOffset>
            </wp:positionV>
            <wp:extent cx="2019300" cy="2955290"/>
            <wp:effectExtent l="0" t="0" r="0" b="3810"/>
            <wp:wrapSquare wrapText="bothSides"/>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a:picLocks/>
                    </pic:cNvPicPr>
                  </pic:nvPicPr>
                  <pic:blipFill>
                    <a:blip r:embed="rId8"/>
                    <a:stretch>
                      <a:fillRect/>
                    </a:stretch>
                  </pic:blipFill>
                  <pic:spPr>
                    <a:xfrm>
                      <a:off x="0" y="0"/>
                      <a:ext cx="2019300" cy="2955290"/>
                    </a:xfrm>
                    <a:prstGeom prst="rect">
                      <a:avLst/>
                    </a:prstGeom>
                    <a:effectLst/>
                  </pic:spPr>
                </pic:pic>
              </a:graphicData>
            </a:graphic>
            <wp14:sizeRelH relativeFrom="margin">
              <wp14:pctWidth>0</wp14:pctWidth>
            </wp14:sizeRelH>
            <wp14:sizeRelV relativeFrom="margin">
              <wp14:pctHeight>0</wp14:pctHeight>
            </wp14:sizeRelV>
          </wp:anchor>
        </w:drawing>
      </w:r>
      <w:r>
        <w:rPr>
          <w:noProof/>
          <w:lang w:val="fr-CA" w:eastAsia="fr-CA"/>
        </w:rPr>
        <w:drawing>
          <wp:anchor distT="152400" distB="152400" distL="152400" distR="152400" simplePos="0" relativeHeight="251659264" behindDoc="0" locked="0" layoutInCell="1" allowOverlap="1" wp14:anchorId="7585FD35" wp14:editId="304FE027">
            <wp:simplePos x="0" y="0"/>
            <wp:positionH relativeFrom="margin">
              <wp:posOffset>1434465</wp:posOffset>
            </wp:positionH>
            <wp:positionV relativeFrom="line">
              <wp:posOffset>552981</wp:posOffset>
            </wp:positionV>
            <wp:extent cx="1924050" cy="3028950"/>
            <wp:effectExtent l="0" t="0" r="6350" b="6350"/>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
                    <pic:cNvPicPr>
                      <a:picLocks/>
                    </pic:cNvPicPr>
                  </pic:nvPicPr>
                  <pic:blipFill>
                    <a:blip r:embed="rId9"/>
                    <a:stretch>
                      <a:fillRect/>
                    </a:stretch>
                  </pic:blipFill>
                  <pic:spPr>
                    <a:xfrm>
                      <a:off x="0" y="0"/>
                      <a:ext cx="1924050" cy="3028950"/>
                    </a:xfrm>
                    <a:prstGeom prst="rect">
                      <a:avLst/>
                    </a:prstGeom>
                    <a:effectLst/>
                  </pic:spPr>
                </pic:pic>
              </a:graphicData>
            </a:graphic>
            <wp14:sizeRelH relativeFrom="margin">
              <wp14:pctWidth>0</wp14:pctWidth>
            </wp14:sizeRelH>
            <wp14:sizeRelV relativeFrom="margin">
              <wp14:pctHeight>0</wp14:pctHeight>
            </wp14:sizeRelV>
          </wp:anchor>
        </w:drawing>
      </w:r>
      <w:r>
        <w:rPr>
          <w:lang w:val="fr-CA"/>
        </w:rPr>
        <w:t xml:space="preserve">Le charme discret de l’intestin, Tout sur un organe mal aimé…; </w:t>
      </w:r>
      <w:proofErr w:type="spellStart"/>
      <w:r>
        <w:rPr>
          <w:lang w:val="fr-CA"/>
        </w:rPr>
        <w:t>Giulia</w:t>
      </w:r>
      <w:proofErr w:type="spellEnd"/>
      <w:r>
        <w:rPr>
          <w:lang w:val="fr-CA"/>
        </w:rPr>
        <w:t xml:space="preserve"> Enders, Actes sud. </w:t>
      </w:r>
    </w:p>
    <w:sectPr w:rsidR="007C52FD" w:rsidRPr="007C52FD" w:rsidSect="007C52FD">
      <w:headerReference w:type="even" r:id="rId10"/>
      <w:headerReference w:type="default" r:id="rId11"/>
      <w:footerReference w:type="even" r:id="rId12"/>
      <w:footerReference w:type="default" r:id="rId13"/>
      <w:headerReference w:type="first" r:id="rId14"/>
      <w:footerReference w:type="first" r:id="rId15"/>
      <w:pgSz w:w="15840" w:h="12240" w:orient="landscape"/>
      <w:pgMar w:top="1558" w:right="1440" w:bottom="1388" w:left="1440" w:header="52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884" w:rsidRDefault="009E6884" w:rsidP="00A957F0">
      <w:r>
        <w:separator/>
      </w:r>
    </w:p>
  </w:endnote>
  <w:endnote w:type="continuationSeparator" w:id="0">
    <w:p w:rsidR="009E6884" w:rsidRDefault="009E6884" w:rsidP="00A95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Regular">
    <w:altName w:val="Avenir Next"/>
    <w:charset w:val="00"/>
    <w:family w:val="roman"/>
    <w:pitch w:val="default"/>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C0" w:rsidRDefault="00BB59C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A7" w:rsidRPr="00FF0DA7" w:rsidRDefault="00FF0DA7" w:rsidP="00FF0DA7">
    <w:pPr>
      <w:pStyle w:val="En-tte"/>
      <w:rPr>
        <w:lang w:val="fr-CA"/>
      </w:rPr>
    </w:pPr>
    <w:r w:rsidRPr="00A957F0">
      <w:rPr>
        <w:smallCaps/>
        <w:lang w:val="fr-CA"/>
      </w:rPr>
      <w:t xml:space="preserve">À </w:t>
    </w:r>
    <w:r w:rsidR="00BB59C0">
      <w:rPr>
        <w:smallCaps/>
        <w:lang w:val="fr-CA"/>
      </w:rPr>
      <w:t>n</w:t>
    </w:r>
    <w:r w:rsidRPr="00A957F0">
      <w:rPr>
        <w:smallCaps/>
        <w:lang w:val="fr-CA"/>
      </w:rPr>
      <w:t>oter </w:t>
    </w:r>
    <w:proofErr w:type="gramStart"/>
    <w:r w:rsidRPr="00A957F0">
      <w:rPr>
        <w:smallCaps/>
        <w:lang w:val="fr-CA"/>
      </w:rPr>
      <w:t>:</w:t>
    </w:r>
    <w:r>
      <w:rPr>
        <w:lang w:val="fr-CA"/>
      </w:rPr>
      <w:t xml:space="preserve"> </w:t>
    </w:r>
    <w:r w:rsidRPr="00A957F0">
      <w:rPr>
        <w:smallCaps/>
        <w:lang w:val="fr-CA"/>
      </w:rPr>
      <w:t xml:space="preserve"> il</w:t>
    </w:r>
    <w:proofErr w:type="gramEnd"/>
    <w:r w:rsidRPr="00A957F0">
      <w:rPr>
        <w:smallCaps/>
        <w:lang w:val="fr-CA"/>
      </w:rPr>
      <w:t xml:space="preserve"> s’agit de recommandations émises en Europe. Il faut prendre en considération que celle</w:t>
    </w:r>
    <w:r>
      <w:rPr>
        <w:smallCaps/>
        <w:lang w:val="fr-CA"/>
      </w:rPr>
      <w:t>s</w:t>
    </w:r>
    <w:r w:rsidRPr="00A957F0">
      <w:rPr>
        <w:smallCaps/>
        <w:lang w:val="fr-CA"/>
      </w:rPr>
      <w:t>-ci s’appuie</w:t>
    </w:r>
    <w:r>
      <w:rPr>
        <w:smallCaps/>
        <w:lang w:val="fr-CA"/>
      </w:rPr>
      <w:t>nt</w:t>
    </w:r>
    <w:r w:rsidRPr="00A957F0">
      <w:rPr>
        <w:smallCaps/>
        <w:lang w:val="fr-CA"/>
      </w:rPr>
      <w:t xml:space="preserve"> sur leur culture et donc ne correspond pas en totalité aux recommandations émises au Canada.</w:t>
    </w:r>
    <w:r>
      <w:rPr>
        <w:lang w:val="fr-C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C0" w:rsidRDefault="00BB59C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884" w:rsidRDefault="009E6884" w:rsidP="00A957F0">
      <w:r>
        <w:separator/>
      </w:r>
    </w:p>
  </w:footnote>
  <w:footnote w:type="continuationSeparator" w:id="0">
    <w:p w:rsidR="009E6884" w:rsidRDefault="009E6884" w:rsidP="00A95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C0" w:rsidRDefault="00BB59C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FD" w:rsidRPr="002474D3" w:rsidRDefault="00FB31BD">
    <w:pPr>
      <w:pStyle w:val="En-tte"/>
      <w:rPr>
        <w:b/>
        <w:bCs/>
        <w:color w:val="000000" w:themeColor="text1"/>
        <w:lang w:val="fr-CA"/>
      </w:rPr>
    </w:pPr>
    <w:r>
      <w:rPr>
        <w:b/>
        <w:bCs/>
        <w:smallCaps/>
        <w:color w:val="000000" w:themeColor="text1"/>
        <w:lang w:val="fr-CA"/>
      </w:rPr>
      <w:t>A</w:t>
    </w:r>
    <w:r w:rsidR="00FF0DA7" w:rsidRPr="002474D3">
      <w:rPr>
        <w:b/>
        <w:bCs/>
        <w:smallCaps/>
        <w:color w:val="000000" w:themeColor="text1"/>
        <w:lang w:val="fr-CA"/>
      </w:rPr>
      <w:t xml:space="preserve">vertissement : Pour bien comprendre </w:t>
    </w:r>
    <w:r w:rsidR="003006DC" w:rsidRPr="002474D3">
      <w:rPr>
        <w:b/>
        <w:bCs/>
        <w:smallCaps/>
        <w:color w:val="000000" w:themeColor="text1"/>
        <w:lang w:val="fr-CA"/>
      </w:rPr>
      <w:t xml:space="preserve">le tableau il est important d’avoir écouté le vidéo zoom sur l’alimentation. </w:t>
    </w:r>
    <w:r w:rsidR="00A97B40" w:rsidRPr="002474D3">
      <w:rPr>
        <w:b/>
        <w:bCs/>
        <w:smallCaps/>
        <w:color w:val="000000" w:themeColor="text1"/>
        <w:lang w:val="fr-CA"/>
      </w:rPr>
      <w:t xml:space="preserve">Nous vous demandons de ne pas partager ni publier ce tableau, il </w:t>
    </w:r>
    <w:r w:rsidR="00893F4F" w:rsidRPr="002474D3">
      <w:rPr>
        <w:b/>
        <w:bCs/>
        <w:smallCaps/>
        <w:color w:val="000000" w:themeColor="text1"/>
        <w:lang w:val="fr-CA"/>
      </w:rPr>
      <w:t>a été créé</w:t>
    </w:r>
    <w:r w:rsidR="00A97B40" w:rsidRPr="002474D3">
      <w:rPr>
        <w:b/>
        <w:bCs/>
        <w:smallCaps/>
        <w:color w:val="000000" w:themeColor="text1"/>
        <w:lang w:val="fr-CA"/>
      </w:rPr>
      <w:t xml:space="preserve"> pour une utilisation personnelle seulement.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9C0" w:rsidRDefault="00BB59C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D2868"/>
    <w:multiLevelType w:val="hybridMultilevel"/>
    <w:tmpl w:val="A204F4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90E2EE0"/>
    <w:multiLevelType w:val="hybridMultilevel"/>
    <w:tmpl w:val="F04AE4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B1D2E18"/>
    <w:multiLevelType w:val="hybridMultilevel"/>
    <w:tmpl w:val="F1E455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90B1EBD"/>
    <w:multiLevelType w:val="hybridMultilevel"/>
    <w:tmpl w:val="F16C82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3FA72895"/>
    <w:multiLevelType w:val="hybridMultilevel"/>
    <w:tmpl w:val="A426F7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CBE65F6"/>
    <w:multiLevelType w:val="hybridMultilevel"/>
    <w:tmpl w:val="438A7E7C"/>
    <w:lvl w:ilvl="0" w:tplc="AAC6EE5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7F0"/>
    <w:rsid w:val="000066FE"/>
    <w:rsid w:val="000129B1"/>
    <w:rsid w:val="00246620"/>
    <w:rsid w:val="002474D3"/>
    <w:rsid w:val="003006DC"/>
    <w:rsid w:val="00415AF4"/>
    <w:rsid w:val="005B75ED"/>
    <w:rsid w:val="007C52FD"/>
    <w:rsid w:val="00893F4F"/>
    <w:rsid w:val="009E6884"/>
    <w:rsid w:val="00A957F0"/>
    <w:rsid w:val="00A97B40"/>
    <w:rsid w:val="00BB59C0"/>
    <w:rsid w:val="00D2501D"/>
    <w:rsid w:val="00D920F8"/>
    <w:rsid w:val="00FB31BD"/>
    <w:rsid w:val="00FF0DA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957F0"/>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
    <w:name w:val="Corps"/>
    <w:rsid w:val="00A957F0"/>
    <w:pPr>
      <w:pBdr>
        <w:top w:val="nil"/>
        <w:left w:val="nil"/>
        <w:bottom w:val="nil"/>
        <w:right w:val="nil"/>
        <w:between w:val="nil"/>
        <w:bar w:val="nil"/>
      </w:pBdr>
      <w:spacing w:after="480" w:line="264" w:lineRule="auto"/>
    </w:pPr>
    <w:rPr>
      <w:rFonts w:ascii="Avenir Next Regular" w:eastAsia="Arial Unicode MS" w:hAnsi="Avenir Next Regular" w:cs="Arial Unicode MS"/>
      <w:color w:val="000000"/>
      <w:sz w:val="32"/>
      <w:szCs w:val="32"/>
      <w:bdr w:val="nil"/>
      <w:lang w:val="fr-FR" w:eastAsia="fr-CA"/>
      <w14:textOutline w14:w="0" w14:cap="flat" w14:cmpd="sng" w14:algn="ctr">
        <w14:noFill/>
        <w14:prstDash w14:val="solid"/>
        <w14:bevel/>
      </w14:textOutline>
    </w:rPr>
  </w:style>
  <w:style w:type="table" w:styleId="Grilledutableau">
    <w:name w:val="Table Grid"/>
    <w:basedOn w:val="TableauNormal"/>
    <w:uiPriority w:val="59"/>
    <w:rsid w:val="00A957F0"/>
    <w:pPr>
      <w:pBdr>
        <w:top w:val="nil"/>
        <w:left w:val="nil"/>
        <w:bottom w:val="nil"/>
        <w:right w:val="nil"/>
        <w:between w:val="nil"/>
        <w:bar w:val="nil"/>
      </w:pBdr>
    </w:pPr>
    <w:rPr>
      <w:rFonts w:ascii="Times New Roman" w:eastAsia="Arial Unicode MS" w:hAnsi="Times New Roman" w:cs="Times New Roman"/>
      <w:sz w:val="20"/>
      <w:szCs w:val="20"/>
      <w:bdr w:val="nil"/>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957F0"/>
    <w:pPr>
      <w:tabs>
        <w:tab w:val="center" w:pos="4320"/>
        <w:tab w:val="right" w:pos="8640"/>
      </w:tabs>
    </w:pPr>
  </w:style>
  <w:style w:type="character" w:customStyle="1" w:styleId="En-tteCar">
    <w:name w:val="En-tête Car"/>
    <w:basedOn w:val="Policepardfaut"/>
    <w:link w:val="En-tte"/>
    <w:uiPriority w:val="99"/>
    <w:rsid w:val="00A957F0"/>
    <w:rPr>
      <w:rFonts w:ascii="Times New Roman" w:eastAsia="Arial Unicode MS" w:hAnsi="Times New Roman" w:cs="Times New Roman"/>
      <w:bdr w:val="nil"/>
      <w:lang w:val="en-US"/>
    </w:rPr>
  </w:style>
  <w:style w:type="paragraph" w:styleId="Pieddepage">
    <w:name w:val="footer"/>
    <w:basedOn w:val="Normal"/>
    <w:link w:val="PieddepageCar"/>
    <w:uiPriority w:val="99"/>
    <w:unhideWhenUsed/>
    <w:rsid w:val="00A957F0"/>
    <w:pPr>
      <w:tabs>
        <w:tab w:val="center" w:pos="4320"/>
        <w:tab w:val="right" w:pos="8640"/>
      </w:tabs>
    </w:pPr>
  </w:style>
  <w:style w:type="character" w:customStyle="1" w:styleId="PieddepageCar">
    <w:name w:val="Pied de page Car"/>
    <w:basedOn w:val="Policepardfaut"/>
    <w:link w:val="Pieddepage"/>
    <w:uiPriority w:val="99"/>
    <w:rsid w:val="00A957F0"/>
    <w:rPr>
      <w:rFonts w:ascii="Times New Roman" w:eastAsia="Arial Unicode MS" w:hAnsi="Times New Roman" w:cs="Times New Roman"/>
      <w:bdr w:val="nil"/>
      <w:lang w:val="en-US"/>
    </w:rPr>
  </w:style>
  <w:style w:type="paragraph" w:styleId="Paragraphedeliste">
    <w:name w:val="List Paragraph"/>
    <w:basedOn w:val="Normal"/>
    <w:uiPriority w:val="34"/>
    <w:qFormat/>
    <w:rsid w:val="007C52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957F0"/>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
    <w:name w:val="Corps"/>
    <w:rsid w:val="00A957F0"/>
    <w:pPr>
      <w:pBdr>
        <w:top w:val="nil"/>
        <w:left w:val="nil"/>
        <w:bottom w:val="nil"/>
        <w:right w:val="nil"/>
        <w:between w:val="nil"/>
        <w:bar w:val="nil"/>
      </w:pBdr>
      <w:spacing w:after="480" w:line="264" w:lineRule="auto"/>
    </w:pPr>
    <w:rPr>
      <w:rFonts w:ascii="Avenir Next Regular" w:eastAsia="Arial Unicode MS" w:hAnsi="Avenir Next Regular" w:cs="Arial Unicode MS"/>
      <w:color w:val="000000"/>
      <w:sz w:val="32"/>
      <w:szCs w:val="32"/>
      <w:bdr w:val="nil"/>
      <w:lang w:val="fr-FR" w:eastAsia="fr-CA"/>
      <w14:textOutline w14:w="0" w14:cap="flat" w14:cmpd="sng" w14:algn="ctr">
        <w14:noFill/>
        <w14:prstDash w14:val="solid"/>
        <w14:bevel/>
      </w14:textOutline>
    </w:rPr>
  </w:style>
  <w:style w:type="table" w:styleId="Grilledutableau">
    <w:name w:val="Table Grid"/>
    <w:basedOn w:val="TableauNormal"/>
    <w:uiPriority w:val="59"/>
    <w:rsid w:val="00A957F0"/>
    <w:pPr>
      <w:pBdr>
        <w:top w:val="nil"/>
        <w:left w:val="nil"/>
        <w:bottom w:val="nil"/>
        <w:right w:val="nil"/>
        <w:between w:val="nil"/>
        <w:bar w:val="nil"/>
      </w:pBdr>
    </w:pPr>
    <w:rPr>
      <w:rFonts w:ascii="Times New Roman" w:eastAsia="Arial Unicode MS" w:hAnsi="Times New Roman" w:cs="Times New Roman"/>
      <w:sz w:val="20"/>
      <w:szCs w:val="20"/>
      <w:bdr w:val="nil"/>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957F0"/>
    <w:pPr>
      <w:tabs>
        <w:tab w:val="center" w:pos="4320"/>
        <w:tab w:val="right" w:pos="8640"/>
      </w:tabs>
    </w:pPr>
  </w:style>
  <w:style w:type="character" w:customStyle="1" w:styleId="En-tteCar">
    <w:name w:val="En-tête Car"/>
    <w:basedOn w:val="Policepardfaut"/>
    <w:link w:val="En-tte"/>
    <w:uiPriority w:val="99"/>
    <w:rsid w:val="00A957F0"/>
    <w:rPr>
      <w:rFonts w:ascii="Times New Roman" w:eastAsia="Arial Unicode MS" w:hAnsi="Times New Roman" w:cs="Times New Roman"/>
      <w:bdr w:val="nil"/>
      <w:lang w:val="en-US"/>
    </w:rPr>
  </w:style>
  <w:style w:type="paragraph" w:styleId="Pieddepage">
    <w:name w:val="footer"/>
    <w:basedOn w:val="Normal"/>
    <w:link w:val="PieddepageCar"/>
    <w:uiPriority w:val="99"/>
    <w:unhideWhenUsed/>
    <w:rsid w:val="00A957F0"/>
    <w:pPr>
      <w:tabs>
        <w:tab w:val="center" w:pos="4320"/>
        <w:tab w:val="right" w:pos="8640"/>
      </w:tabs>
    </w:pPr>
  </w:style>
  <w:style w:type="character" w:customStyle="1" w:styleId="PieddepageCar">
    <w:name w:val="Pied de page Car"/>
    <w:basedOn w:val="Policepardfaut"/>
    <w:link w:val="Pieddepage"/>
    <w:uiPriority w:val="99"/>
    <w:rsid w:val="00A957F0"/>
    <w:rPr>
      <w:rFonts w:ascii="Times New Roman" w:eastAsia="Arial Unicode MS" w:hAnsi="Times New Roman" w:cs="Times New Roman"/>
      <w:bdr w:val="nil"/>
      <w:lang w:val="en-US"/>
    </w:rPr>
  </w:style>
  <w:style w:type="paragraph" w:styleId="Paragraphedeliste">
    <w:name w:val="List Paragraph"/>
    <w:basedOn w:val="Normal"/>
    <w:uiPriority w:val="34"/>
    <w:qFormat/>
    <w:rsid w:val="007C52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Pages>
  <Words>849</Words>
  <Characters>4674</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Marchand</dc:creator>
  <cp:keywords/>
  <dc:description/>
  <cp:lastModifiedBy>Stephanie Houle</cp:lastModifiedBy>
  <cp:revision>6</cp:revision>
  <cp:lastPrinted>2020-06-16T12:47:00Z</cp:lastPrinted>
  <dcterms:created xsi:type="dcterms:W3CDTF">2020-06-16T01:51:00Z</dcterms:created>
  <dcterms:modified xsi:type="dcterms:W3CDTF">2020-06-17T01:04:00Z</dcterms:modified>
</cp:coreProperties>
</file>